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0B49AF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 w:rsidP="00DD2EFA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</w:t>
            </w:r>
            <w:r w:rsidR="005A3313">
              <w:rPr>
                <w:rFonts w:ascii="Arial" w:eastAsia="Arial" w:hAnsi="Arial"/>
                <w:b/>
              </w:rPr>
              <w:t>II</w:t>
            </w: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49AF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0B49AF" w:rsidRDefault="000B49AF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0B49AF" w:rsidRDefault="00A21BC0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0B49AF" w:rsidRDefault="000B49A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47" w:lineRule="auto"/>
        <w:ind w:left="40" w:right="60"/>
        <w:rPr>
          <w:rFonts w:ascii="Arial" w:eastAsia="Arial" w:hAnsi="Arial"/>
        </w:rPr>
      </w:pPr>
      <w:r>
        <w:rPr>
          <w:rFonts w:ascii="Arial" w:eastAsia="Arial" w:hAnsi="Arial"/>
        </w:rPr>
        <w:t xml:space="preserve">Poderá ocorrer casos em que o desembolso não seja trimestral. Nesse caso o quadro deverá ser </w:t>
      </w:r>
      <w:proofErr w:type="spellStart"/>
      <w:r>
        <w:rPr>
          <w:rFonts w:ascii="Arial" w:eastAsia="Arial" w:hAnsi="Arial"/>
        </w:rPr>
        <w:t>preenhido</w:t>
      </w:r>
      <w:proofErr w:type="spellEnd"/>
      <w:r>
        <w:rPr>
          <w:rFonts w:ascii="Arial" w:eastAsia="Arial" w:hAnsi="Arial"/>
        </w:rPr>
        <w:t xml:space="preserve"> de acordo com a necessidade prevista para execução.</w:t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0B49AF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B49AF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0B49AF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49AF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B49AF" w:rsidSect="00BA4E6B">
      <w:pgSz w:w="11900" w:h="16838"/>
      <w:pgMar w:top="1060" w:right="460" w:bottom="1440" w:left="360" w:header="0" w:footer="0" w:gutter="0"/>
      <w:cols w:space="0" w:equalWidth="0">
        <w:col w:w="11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9A"/>
    <w:rsid w:val="000B49AF"/>
    <w:rsid w:val="000C529A"/>
    <w:rsid w:val="00482FC5"/>
    <w:rsid w:val="005A3313"/>
    <w:rsid w:val="00A21BC0"/>
    <w:rsid w:val="00BA4E6B"/>
    <w:rsid w:val="00DD2EFA"/>
    <w:rsid w:val="00E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05761-ECA9-42B6-B452-38137A70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dcterms:created xsi:type="dcterms:W3CDTF">2021-08-03T19:31:00Z</dcterms:created>
  <dcterms:modified xsi:type="dcterms:W3CDTF">2021-08-03T19:31:00Z</dcterms:modified>
</cp:coreProperties>
</file>