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DECLARAÇÃO DE CAPACIDADE TÉCNICA E OPERACIONAL (Art. 33, V, “C” da Lei n° 13.019/2014 e art. 26, VII do Decreto Estadual nº 14.494/16)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212D4C">
        <w:rPr>
          <w:rFonts w:ascii="Arial" w:hAnsi="Arial" w:cs="Arial"/>
          <w:i/>
          <w:sz w:val="24"/>
          <w:szCs w:val="24"/>
        </w:rPr>
        <w:t>(identificar os itens que serão implementados – recursos humanos, equipamentos, mobiliários, etc...</w:t>
      </w:r>
      <w:r>
        <w:rPr>
          <w:rFonts w:ascii="Arial" w:hAnsi="Arial" w:cs="Arial"/>
          <w:sz w:val="24"/>
          <w:szCs w:val="24"/>
        </w:rPr>
        <w:t>)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Local e data de assinatura (.....) de de </w:t>
      </w:r>
      <w:r w:rsidR="004F1A5B">
        <w:rPr>
          <w:rFonts w:ascii="Arial" w:hAnsi="Arial" w:cs="Arial"/>
          <w:sz w:val="24"/>
          <w:szCs w:val="24"/>
        </w:rPr>
        <w:t>202</w:t>
      </w:r>
      <w:r w:rsidR="00E9442B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4C1EA8">
      <w:pPr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F0" w:rsidRDefault="00B135F0" w:rsidP="00032668">
      <w:pPr>
        <w:spacing w:after="0" w:line="240" w:lineRule="auto"/>
      </w:pPr>
      <w:r>
        <w:separator/>
      </w:r>
    </w:p>
  </w:endnote>
  <w:endnote w:type="continuationSeparator" w:id="0">
    <w:p w:rsidR="00B135F0" w:rsidRDefault="00B135F0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F0" w:rsidRDefault="00B135F0" w:rsidP="00032668">
      <w:pPr>
        <w:spacing w:after="0" w:line="240" w:lineRule="auto"/>
      </w:pPr>
      <w:r>
        <w:separator/>
      </w:r>
    </w:p>
  </w:footnote>
  <w:footnote w:type="continuationSeparator" w:id="0">
    <w:p w:rsidR="00B135F0" w:rsidRDefault="00B135F0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E55B9A"/>
    <w:rsid w:val="00E55CEE"/>
    <w:rsid w:val="00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0CFD4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cp:lastPrinted>2017-06-23T19:00:00Z</cp:lastPrinted>
  <dcterms:created xsi:type="dcterms:W3CDTF">2020-09-14T13:21:00Z</dcterms:created>
  <dcterms:modified xsi:type="dcterms:W3CDTF">2021-03-01T13:52:00Z</dcterms:modified>
</cp:coreProperties>
</file>